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5265" w14:textId="77777777" w:rsidR="00977EE7" w:rsidRPr="00AA3910" w:rsidRDefault="00977EE7" w:rsidP="00977EE7">
      <w:pPr>
        <w:shd w:val="clear" w:color="auto" w:fill="FFFFFF" w:themeFill="background1"/>
        <w:spacing w:line="0" w:lineRule="atLeast"/>
        <w:ind w:right="-568"/>
        <w:jc w:val="center"/>
        <w:rPr>
          <w:rFonts w:ascii="Times New Roman" w:hAnsi="Times New Roman" w:cs="Times New Roman"/>
          <w:sz w:val="28"/>
        </w:rPr>
      </w:pPr>
      <w:r w:rsidRPr="00AA3910"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14:paraId="2768ABDC" w14:textId="77777777" w:rsidR="00977EE7" w:rsidRPr="00AA3910" w:rsidRDefault="00977EE7" w:rsidP="00977EE7">
      <w:pPr>
        <w:shd w:val="clear" w:color="auto" w:fill="FFFFFF" w:themeFill="background1"/>
        <w:spacing w:line="0" w:lineRule="atLeast"/>
        <w:jc w:val="center"/>
        <w:rPr>
          <w:rFonts w:ascii="Times New Roman" w:hAnsi="Times New Roman" w:cs="Times New Roman"/>
          <w:sz w:val="28"/>
        </w:rPr>
      </w:pPr>
      <w:r w:rsidRPr="00AA3910">
        <w:rPr>
          <w:rFonts w:ascii="Times New Roman" w:hAnsi="Times New Roman" w:cs="Times New Roman"/>
          <w:sz w:val="28"/>
        </w:rPr>
        <w:t>КИЇВСЬКИЙ НАЦІОНАЛЬНИЙ УНІВЕРСИТЕТ ТЕХНОЛОГІЙ ТА ДИЗАЙНУ</w:t>
      </w:r>
    </w:p>
    <w:p w14:paraId="7595CF1D" w14:textId="77777777" w:rsidR="00977EE7" w:rsidRPr="00AA3910" w:rsidRDefault="00977EE7" w:rsidP="00977EE7">
      <w:pPr>
        <w:shd w:val="clear" w:color="auto" w:fill="FFFFFF" w:themeFill="background1"/>
        <w:spacing w:line="0" w:lineRule="atLeast"/>
        <w:jc w:val="center"/>
        <w:rPr>
          <w:rFonts w:ascii="Times New Roman" w:hAnsi="Times New Roman" w:cs="Times New Roman"/>
          <w:sz w:val="28"/>
        </w:rPr>
      </w:pPr>
    </w:p>
    <w:p w14:paraId="0F379495" w14:textId="77777777" w:rsidR="00977EE7" w:rsidRPr="00AA3910" w:rsidRDefault="00977EE7" w:rsidP="00977EE7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</w:rPr>
      </w:pPr>
      <w:r w:rsidRPr="00AA3910">
        <w:rPr>
          <w:rFonts w:ascii="Times New Roman" w:hAnsi="Times New Roman" w:cs="Times New Roman"/>
        </w:rPr>
        <w:t xml:space="preserve">Факультет </w:t>
      </w:r>
      <w:proofErr w:type="spellStart"/>
      <w:r w:rsidRPr="00AA3910">
        <w:rPr>
          <w:rFonts w:ascii="Times New Roman" w:hAnsi="Times New Roman" w:cs="Times New Roman"/>
        </w:rPr>
        <w:t>хімічних</w:t>
      </w:r>
      <w:proofErr w:type="spellEnd"/>
      <w:r w:rsidRPr="00AA3910">
        <w:rPr>
          <w:rFonts w:ascii="Times New Roman" w:hAnsi="Times New Roman" w:cs="Times New Roman"/>
        </w:rPr>
        <w:t xml:space="preserve"> та </w:t>
      </w:r>
      <w:proofErr w:type="spellStart"/>
      <w:r w:rsidRPr="00AA3910">
        <w:rPr>
          <w:rFonts w:ascii="Times New Roman" w:hAnsi="Times New Roman" w:cs="Times New Roman"/>
        </w:rPr>
        <w:t>біофармацевтичних</w:t>
      </w:r>
      <w:proofErr w:type="spellEnd"/>
      <w:r w:rsidRPr="00AA3910">
        <w:rPr>
          <w:rFonts w:ascii="Times New Roman" w:hAnsi="Times New Roman" w:cs="Times New Roman"/>
        </w:rPr>
        <w:t xml:space="preserve"> </w:t>
      </w:r>
      <w:proofErr w:type="spellStart"/>
      <w:r w:rsidRPr="00AA3910">
        <w:rPr>
          <w:rFonts w:ascii="Times New Roman" w:hAnsi="Times New Roman" w:cs="Times New Roman"/>
        </w:rPr>
        <w:t>технологій</w:t>
      </w:r>
      <w:proofErr w:type="spellEnd"/>
    </w:p>
    <w:p w14:paraId="624BD425" w14:textId="77777777" w:rsidR="00977EE7" w:rsidRPr="00AA3910" w:rsidRDefault="00977EE7" w:rsidP="00977EE7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</w:rPr>
      </w:pPr>
      <w:r w:rsidRPr="00AA3910">
        <w:rPr>
          <w:rFonts w:ascii="Times New Roman" w:hAnsi="Times New Roman" w:cs="Times New Roman"/>
        </w:rPr>
        <w:t xml:space="preserve">Кафедра </w:t>
      </w:r>
      <w:proofErr w:type="spellStart"/>
      <w:r w:rsidRPr="00AA3910">
        <w:rPr>
          <w:rFonts w:ascii="Times New Roman" w:hAnsi="Times New Roman" w:cs="Times New Roman"/>
        </w:rPr>
        <w:t>промислової</w:t>
      </w:r>
      <w:proofErr w:type="spellEnd"/>
      <w:r w:rsidRPr="00AA3910">
        <w:rPr>
          <w:rFonts w:ascii="Times New Roman" w:hAnsi="Times New Roman" w:cs="Times New Roman"/>
        </w:rPr>
        <w:t xml:space="preserve"> </w:t>
      </w:r>
      <w:proofErr w:type="spellStart"/>
      <w:r w:rsidRPr="00AA3910">
        <w:rPr>
          <w:rFonts w:ascii="Times New Roman" w:hAnsi="Times New Roman" w:cs="Times New Roman"/>
        </w:rPr>
        <w:t>фармації</w:t>
      </w:r>
      <w:proofErr w:type="spellEnd"/>
    </w:p>
    <w:p w14:paraId="12167C3E" w14:textId="77777777" w:rsidR="00977EE7" w:rsidRPr="00AA3910" w:rsidRDefault="00977EE7" w:rsidP="00977EE7">
      <w:pPr>
        <w:shd w:val="clear" w:color="auto" w:fill="FFFFFF" w:themeFill="background1"/>
        <w:spacing w:line="200" w:lineRule="exact"/>
        <w:rPr>
          <w:rFonts w:ascii="Times New Roman" w:hAnsi="Times New Roman" w:cs="Times New Roman"/>
        </w:rPr>
      </w:pPr>
    </w:p>
    <w:p w14:paraId="38FFB798" w14:textId="77777777" w:rsidR="00977EE7" w:rsidRPr="00977EE7" w:rsidRDefault="00977EE7" w:rsidP="0097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lang w:eastAsia="en-US"/>
        </w:rPr>
      </w:pPr>
      <w:r w:rsidRPr="00977EE7">
        <w:rPr>
          <w:rFonts w:ascii="Times New Roman" w:eastAsia="Times New Roman" w:hAnsi="Times New Roman" w:cs="Times New Roman"/>
          <w:b/>
          <w:i/>
          <w:sz w:val="32"/>
        </w:rPr>
        <w:t>РЕФЕРАТ</w:t>
      </w:r>
    </w:p>
    <w:p w14:paraId="45330FB2" w14:textId="77777777" w:rsidR="00977EE7" w:rsidRPr="00977EE7" w:rsidRDefault="00977EE7" w:rsidP="00977EE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2"/>
        </w:rPr>
      </w:pPr>
      <w:r w:rsidRPr="00977EE7">
        <w:rPr>
          <w:rFonts w:ascii="Times New Roman" w:eastAsia="Times New Roman" w:hAnsi="Times New Roman" w:cs="Times New Roman"/>
          <w:bCs/>
          <w:iCs/>
          <w:sz w:val="32"/>
        </w:rPr>
        <w:t>до дипломної магістерської роботи (</w:t>
      </w:r>
      <w:proofErr w:type="spellStart"/>
      <w:r w:rsidRPr="00977EE7">
        <w:rPr>
          <w:rFonts w:ascii="Times New Roman" w:eastAsia="Times New Roman" w:hAnsi="Times New Roman" w:cs="Times New Roman"/>
          <w:bCs/>
          <w:iCs/>
          <w:sz w:val="32"/>
        </w:rPr>
        <w:t>проєкту</w:t>
      </w:r>
      <w:proofErr w:type="spellEnd"/>
      <w:r w:rsidRPr="00977EE7">
        <w:rPr>
          <w:rFonts w:ascii="Times New Roman" w:eastAsia="Times New Roman" w:hAnsi="Times New Roman" w:cs="Times New Roman"/>
          <w:bCs/>
          <w:iCs/>
          <w:sz w:val="32"/>
        </w:rPr>
        <w:t xml:space="preserve">) </w:t>
      </w:r>
    </w:p>
    <w:p w14:paraId="52EDF276" w14:textId="77777777" w:rsidR="00977EE7" w:rsidRPr="00977EE7" w:rsidRDefault="00977EE7" w:rsidP="00977EE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77EE7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на тему</w:t>
      </w:r>
    </w:p>
    <w:p w14:paraId="2D90D355" w14:textId="77777777" w:rsidR="00977EE7" w:rsidRDefault="00977EE7" w:rsidP="00977EE7">
      <w:pPr>
        <w:shd w:val="clear" w:color="auto" w:fill="FFFFFF" w:themeFill="background1"/>
        <w:spacing w:line="360" w:lineRule="auto"/>
        <w:rPr>
          <w:rFonts w:ascii="Times New Roman" w:hAnsi="Times New Roman" w:cs="Times New Roman"/>
        </w:rPr>
      </w:pPr>
    </w:p>
    <w:p w14:paraId="02F112D7" w14:textId="5B0D700F" w:rsidR="00977EE7" w:rsidRPr="00AA3910" w:rsidRDefault="00977EE7" w:rsidP="00977EE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10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AA3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«Створення моделі комбінованого лікарського засобу з </w:t>
      </w:r>
      <w:proofErr w:type="spellStart"/>
      <w:r w:rsidRPr="00AA3910">
        <w:rPr>
          <w:rFonts w:ascii="Times New Roman" w:hAnsi="Times New Roman" w:cs="Times New Roman"/>
          <w:sz w:val="28"/>
          <w:szCs w:val="28"/>
          <w:shd w:val="clear" w:color="auto" w:fill="FFFFFF"/>
        </w:rPr>
        <w:t>імуномодулюючою</w:t>
      </w:r>
      <w:proofErr w:type="spellEnd"/>
      <w:r w:rsidRPr="00AA3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дією для лікування захворювань, що супроводжуються порушенням клітинного імунітету»</w:t>
      </w:r>
    </w:p>
    <w:p w14:paraId="756C6BFD" w14:textId="77777777" w:rsidR="00977EE7" w:rsidRPr="00AA3910" w:rsidRDefault="00977EE7" w:rsidP="00977EE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7B75B" w14:textId="77777777" w:rsidR="00977EE7" w:rsidRPr="00AA3910" w:rsidRDefault="00977EE7" w:rsidP="00977EE7">
      <w:pPr>
        <w:shd w:val="clear" w:color="auto" w:fill="FFFFFF" w:themeFill="background1"/>
        <w:spacing w:line="286" w:lineRule="exact"/>
        <w:rPr>
          <w:rFonts w:ascii="Times New Roman" w:hAnsi="Times New Roman" w:cs="Times New Roman"/>
        </w:rPr>
      </w:pPr>
    </w:p>
    <w:p w14:paraId="06D3E01F" w14:textId="77777777" w:rsidR="00977EE7" w:rsidRDefault="00977EE7" w:rsidP="00977EE7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A3910">
        <w:rPr>
          <w:rFonts w:ascii="Times New Roman" w:hAnsi="Times New Roman" w:cs="Times New Roman"/>
          <w:sz w:val="28"/>
          <w:szCs w:val="28"/>
        </w:rPr>
        <w:t>Виконала: студентка II курсу групи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910">
        <w:rPr>
          <w:rFonts w:ascii="Times New Roman" w:hAnsi="Times New Roman" w:cs="Times New Roman"/>
          <w:sz w:val="28"/>
          <w:szCs w:val="28"/>
        </w:rPr>
        <w:t>МгХФ-19</w:t>
      </w:r>
    </w:p>
    <w:p w14:paraId="120A86F7" w14:textId="5293E753" w:rsidR="00977EE7" w:rsidRPr="00AA3910" w:rsidRDefault="00977EE7" w:rsidP="00977EE7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A3910">
        <w:rPr>
          <w:rFonts w:ascii="Times New Roman" w:hAnsi="Times New Roman" w:cs="Times New Roman"/>
          <w:sz w:val="28"/>
          <w:szCs w:val="28"/>
        </w:rPr>
        <w:t>С</w:t>
      </w:r>
      <w:r w:rsidRPr="00AA3910">
        <w:rPr>
          <w:rFonts w:ascii="Times New Roman" w:hAnsi="Times New Roman" w:cs="Times New Roman"/>
          <w:sz w:val="28"/>
          <w:szCs w:val="28"/>
        </w:rPr>
        <w:t>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3910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3910">
        <w:rPr>
          <w:rFonts w:ascii="Times New Roman" w:hAnsi="Times New Roman" w:cs="Times New Roman"/>
          <w:sz w:val="28"/>
          <w:szCs w:val="28"/>
        </w:rPr>
        <w:t>Фармація,промислова</w:t>
      </w:r>
      <w:proofErr w:type="spellEnd"/>
      <w:r w:rsidRPr="00AA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3910">
        <w:rPr>
          <w:rFonts w:ascii="Times New Roman" w:hAnsi="Times New Roman" w:cs="Times New Roman"/>
          <w:sz w:val="28"/>
          <w:szCs w:val="28"/>
        </w:rPr>
        <w:t>фармація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8E864C2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379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3910">
        <w:rPr>
          <w:rFonts w:ascii="Times New Roman" w:hAnsi="Times New Roman" w:cs="Times New Roman"/>
          <w:sz w:val="28"/>
          <w:szCs w:val="28"/>
        </w:rPr>
        <w:t>Грицаєнко</w:t>
      </w:r>
      <w:proofErr w:type="spellEnd"/>
      <w:r w:rsidRPr="00AA3910">
        <w:rPr>
          <w:rFonts w:ascii="Times New Roman" w:hAnsi="Times New Roman" w:cs="Times New Roman"/>
          <w:sz w:val="28"/>
          <w:szCs w:val="28"/>
        </w:rPr>
        <w:t xml:space="preserve"> В. В.</w:t>
      </w:r>
    </w:p>
    <w:p w14:paraId="466E34B4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AA3910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Pr="00AA3910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  <w:proofErr w:type="spellStart"/>
      <w:r w:rsidRPr="00AA3910">
        <w:rPr>
          <w:rFonts w:ascii="Times New Roman" w:hAnsi="Times New Roman" w:cs="Times New Roman"/>
          <w:sz w:val="28"/>
          <w:szCs w:val="28"/>
          <w:u w:val="single"/>
        </w:rPr>
        <w:t>к.б.н</w:t>
      </w:r>
      <w:proofErr w:type="spellEnd"/>
      <w:r w:rsidRPr="00AA3910">
        <w:rPr>
          <w:rFonts w:ascii="Times New Roman" w:hAnsi="Times New Roman" w:cs="Times New Roman"/>
          <w:sz w:val="28"/>
          <w:szCs w:val="28"/>
          <w:u w:val="single"/>
        </w:rPr>
        <w:t>., доц. Любченко Г.А</w:t>
      </w:r>
      <w:r w:rsidRPr="00AA3910">
        <w:rPr>
          <w:rFonts w:ascii="Times New Roman" w:hAnsi="Times New Roman" w:cs="Times New Roman"/>
          <w:sz w:val="28"/>
          <w:szCs w:val="28"/>
        </w:rPr>
        <w:t>._</w:t>
      </w:r>
    </w:p>
    <w:p w14:paraId="0CE8A926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910">
        <w:rPr>
          <w:rFonts w:ascii="Times New Roman" w:hAnsi="Times New Roman" w:cs="Times New Roman"/>
          <w:sz w:val="20"/>
          <w:szCs w:val="20"/>
        </w:rPr>
        <w:t>(ініціали , прізвище)</w:t>
      </w:r>
    </w:p>
    <w:p w14:paraId="54ADBC6B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2235C1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AA3910">
        <w:rPr>
          <w:rFonts w:ascii="Times New Roman" w:hAnsi="Times New Roman" w:cs="Times New Roman"/>
          <w:sz w:val="28"/>
          <w:szCs w:val="28"/>
        </w:rPr>
        <w:t xml:space="preserve">Рецензент__ </w:t>
      </w:r>
      <w:proofErr w:type="spellStart"/>
      <w:r w:rsidRPr="00AA3910">
        <w:rPr>
          <w:rFonts w:ascii="Times New Roman" w:hAnsi="Times New Roman" w:cs="Times New Roman"/>
          <w:sz w:val="28"/>
          <w:szCs w:val="28"/>
          <w:u w:val="single"/>
        </w:rPr>
        <w:t>д.б.н</w:t>
      </w:r>
      <w:proofErr w:type="spellEnd"/>
      <w:r w:rsidRPr="00AA3910">
        <w:rPr>
          <w:rFonts w:ascii="Times New Roman" w:hAnsi="Times New Roman" w:cs="Times New Roman"/>
          <w:sz w:val="28"/>
          <w:szCs w:val="28"/>
          <w:u w:val="single"/>
        </w:rPr>
        <w:t>., проф. Колибо Д.В._</w:t>
      </w:r>
    </w:p>
    <w:p w14:paraId="437501A2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910">
        <w:rPr>
          <w:rFonts w:ascii="Times New Roman" w:hAnsi="Times New Roman" w:cs="Times New Roman"/>
          <w:sz w:val="20"/>
          <w:szCs w:val="20"/>
        </w:rPr>
        <w:t>(ініціали , прізвище)</w:t>
      </w:r>
    </w:p>
    <w:p w14:paraId="7ACC797E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21498D" w14:textId="77777777" w:rsidR="00977EE7" w:rsidRPr="00AA3910" w:rsidRDefault="00977EE7" w:rsidP="00977E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0F78A4" w14:textId="77777777" w:rsidR="00977EE7" w:rsidRPr="00AA3910" w:rsidRDefault="00977EE7" w:rsidP="00977E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94244A" w14:textId="77777777" w:rsidR="00977EE7" w:rsidRPr="006D097A" w:rsidRDefault="00977EE7" w:rsidP="00977E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3437D7" w14:textId="5609FE0B" w:rsidR="00977EE7" w:rsidRPr="006D097A" w:rsidRDefault="00977EE7" w:rsidP="00977E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AA3910">
        <w:rPr>
          <w:rFonts w:ascii="Times New Roman" w:hAnsi="Times New Roman" w:cs="Times New Roman"/>
          <w:sz w:val="28"/>
          <w:szCs w:val="28"/>
        </w:rPr>
        <w:t>Київ 2020</w:t>
      </w:r>
    </w:p>
    <w:p w14:paraId="7C69740F" w14:textId="77777777" w:rsidR="00977EE7" w:rsidRPr="003A0861" w:rsidRDefault="00977EE7" w:rsidP="00977EE7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1">
        <w:rPr>
          <w:rFonts w:ascii="Times New Roman" w:hAnsi="Times New Roman"/>
          <w:b/>
          <w:sz w:val="28"/>
          <w:szCs w:val="28"/>
        </w:rPr>
        <w:lastRenderedPageBreak/>
        <w:t>Актуальність теми:</w:t>
      </w:r>
      <w:r w:rsidRPr="003A0861">
        <w:rPr>
          <w:rFonts w:ascii="Times New Roman" w:hAnsi="Times New Roman"/>
          <w:sz w:val="28"/>
          <w:szCs w:val="28"/>
        </w:rPr>
        <w:t xml:space="preserve"> </w:t>
      </w:r>
      <w:r w:rsidRPr="003A0861">
        <w:rPr>
          <w:rFonts w:ascii="Times New Roman" w:hAnsi="Times New Roman" w:cs="Times New Roman"/>
          <w:sz w:val="28"/>
          <w:szCs w:val="28"/>
        </w:rPr>
        <w:t xml:space="preserve">Інфекційні хвороби та спричинені ними порушення імунітету, становлять загрозу розвитку людства, оскільки є причиною третини загальної щорічної кількості смертей у світі. За даними Всесвітньої організації охорони здоров`я (WHO), смертність внаслідок інфекційних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в деяких країнах світу займає друге місце в структурі загальної смертності.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широкому сенсі інфекційні захворювання — це усі розлади, які спричинюють збудники, зокрема, вогнищеві ураження органів (абсцеси, гнояки, гнійний апендицит, фурункули, бактеріальна пневмонія, тощо). Їх вивчають, діагностують і лікують у складі тих медичних спеціальностей, які опікуються тими чи іншими органами чи системами. </w:t>
      </w:r>
      <w:r w:rsidRPr="003A0861">
        <w:rPr>
          <w:rFonts w:ascii="Times New Roman" w:hAnsi="Times New Roman" w:cs="Times New Roman"/>
          <w:iCs/>
          <w:color w:val="000000"/>
          <w:sz w:val="28"/>
          <w:szCs w:val="28"/>
        </w:rPr>
        <w:t>Тому актуальним є розробка нових</w:t>
      </w:r>
      <w:r w:rsidRPr="003A0861">
        <w:rPr>
          <w:rFonts w:ascii="Times New Roman" w:hAnsi="Times New Roman" w:cs="Times New Roman"/>
          <w:sz w:val="28"/>
          <w:szCs w:val="28"/>
        </w:rPr>
        <w:t xml:space="preserve"> фармацевтичних засобів з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імунокорегуючою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дією та створення технологій боротьби з захворюваннями, що супроводжуються порушеннями клітинного імунітету в умовах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імунодифіциту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імуносупресії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організму.</w:t>
      </w:r>
    </w:p>
    <w:p w14:paraId="74966513" w14:textId="77777777" w:rsidR="00977EE7" w:rsidRPr="003A0861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Впровадження в клініку досягнень вітчизняної фармацевтики та біотехнології при створенні лікарських засобів, що володіють імуномоделюючою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імуностимулюючою</w:t>
      </w:r>
      <w:proofErr w:type="spellEnd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дією відкриває широкі перспективи в боротьбі з інфекційними, онкологічними, алергічними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аутоімунними</w:t>
      </w:r>
      <w:proofErr w:type="spellEnd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захворюваннями, </w:t>
      </w:r>
      <w:proofErr w:type="spellStart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імунодефіцитними</w:t>
      </w:r>
      <w:proofErr w:type="spellEnd"/>
      <w:r w:rsidRPr="003A0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станами та ін.. </w:t>
      </w:r>
      <w:r w:rsidRPr="003A0861">
        <w:rPr>
          <w:rFonts w:ascii="Times New Roman" w:hAnsi="Times New Roman"/>
          <w:sz w:val="28"/>
          <w:szCs w:val="28"/>
        </w:rPr>
        <w:t xml:space="preserve">З'ясування причин ослаблення імунологічного захисту організму, імунологічна характеристика станів, що супроводжуються порушенням імунної відповіді, та розробка методів їх імунологічної корекції є важливим завданням діагностики і лікування придбаних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імунодефіцитних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станів. Найбільш інноваційним методом посилення фармакологічної та імунобіологічної активності є поєднання кількох активних компонентів, що регулюють функціональну активність клітинного та гуморального імунітету.</w:t>
      </w:r>
    </w:p>
    <w:p w14:paraId="48B06D08" w14:textId="77777777" w:rsidR="00977EE7" w:rsidRPr="003A0861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 w:cs="Times New Roman"/>
          <w:iCs/>
          <w:sz w:val="28"/>
          <w:szCs w:val="28"/>
        </w:rPr>
        <w:t>Таким чином, актуальною є розробка нових</w:t>
      </w:r>
      <w:r w:rsidRPr="003A0861">
        <w:rPr>
          <w:rFonts w:ascii="Times New Roman" w:hAnsi="Times New Roman" w:cs="Times New Roman"/>
          <w:sz w:val="28"/>
          <w:szCs w:val="28"/>
        </w:rPr>
        <w:t xml:space="preserve"> фармацевтичних засобів з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імунокорегуючою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дією та створення технологій боротьби з захворюваннями, що супроводжуються порушеннями клітинного імунітету в умовах імунодефіциту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імуносупресії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організму. Вивчення та впровадження для </w:t>
      </w:r>
      <w:r w:rsidRPr="003A0861">
        <w:rPr>
          <w:rFonts w:ascii="Times New Roman" w:hAnsi="Times New Roman" w:cs="Times New Roman"/>
          <w:sz w:val="28"/>
          <w:szCs w:val="28"/>
        </w:rPr>
        <w:lastRenderedPageBreak/>
        <w:t xml:space="preserve">застосування препаратів на основі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імунорегуляторних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пептидів,</w:t>
      </w:r>
      <w:r w:rsidRPr="003A0861">
        <w:rPr>
          <w:rFonts w:ascii="Times New Roman" w:hAnsi="Times New Roman" w:cs="Times New Roman"/>
          <w:iCs/>
          <w:sz w:val="28"/>
          <w:szCs w:val="28"/>
        </w:rPr>
        <w:t xml:space="preserve"> в тому числі  комбінованих з іншими природними біополімерами,</w:t>
      </w:r>
      <w:r w:rsidRPr="003A0861">
        <w:rPr>
          <w:rFonts w:ascii="Times New Roman" w:hAnsi="Times New Roman" w:cs="Times New Roman"/>
          <w:sz w:val="28"/>
          <w:szCs w:val="28"/>
        </w:rPr>
        <w:t xml:space="preserve"> є практично-значимою проблемою, яка зумовлена необхідністю корекції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імунодефіцитних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станів, що супроводжують більшість захворювань.</w:t>
      </w:r>
    </w:p>
    <w:p w14:paraId="4F1F8AFB" w14:textId="77777777" w:rsidR="00977EE7" w:rsidRPr="003A0861" w:rsidRDefault="00977EE7" w:rsidP="00977EE7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6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Мета дослідження: </w:t>
      </w:r>
      <w:r w:rsidRPr="003A0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дослідити </w:t>
      </w:r>
      <w:r w:rsidRPr="003A0861">
        <w:rPr>
          <w:rFonts w:ascii="Times New Roman" w:hAnsi="Times New Roman" w:cs="Times New Roman"/>
          <w:sz w:val="28"/>
          <w:szCs w:val="28"/>
        </w:rPr>
        <w:t xml:space="preserve">імунобіологічні впливи та комбіновану дію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тималіну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нанорозмірного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низькомолекулярного біополімеру клітинної стінки стафілокока з метою створення моделі комбінованого імунобіологічного препарату. Оцінити вплив запропонованого препарату на синтез ендогенного інтерферону, фактору некрозу пухлин, визначити фагоцитарну активність макрофагів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продукцію цитокінів та вплив на клітинні фактори імунітету. </w:t>
      </w:r>
    </w:p>
    <w:p w14:paraId="403ECAC5" w14:textId="48CBD7B8" w:rsidR="00977EE7" w:rsidRPr="003A0861" w:rsidRDefault="00977EE7" w:rsidP="00977EE7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861">
        <w:rPr>
          <w:rFonts w:ascii="Times New Roman" w:hAnsi="Times New Roman"/>
          <w:b/>
          <w:sz w:val="28"/>
          <w:szCs w:val="28"/>
          <w:lang w:val="uk-UA"/>
        </w:rPr>
        <w:t xml:space="preserve">Об’єкт дослідження: </w:t>
      </w:r>
    </w:p>
    <w:p w14:paraId="43F5C933" w14:textId="77777777" w:rsidR="00977EE7" w:rsidRPr="003A0861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t>Білок-</w:t>
      </w:r>
      <w:proofErr w:type="spellStart"/>
      <w:r w:rsidRPr="003A0861">
        <w:rPr>
          <w:rFonts w:ascii="Times New Roman" w:hAnsi="Times New Roman"/>
          <w:sz w:val="28"/>
          <w:szCs w:val="28"/>
        </w:rPr>
        <w:t>адгезин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клітинної стінки стафілокока, препарат </w:t>
      </w:r>
      <w:proofErr w:type="spellStart"/>
      <w:r w:rsidRPr="003A0861">
        <w:rPr>
          <w:rFonts w:ascii="Times New Roman" w:hAnsi="Times New Roman"/>
          <w:sz w:val="28"/>
          <w:szCs w:val="28"/>
        </w:rPr>
        <w:t>Тималін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, який що має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імунорегуляторну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дію, фармакологічні впливи </w:t>
      </w:r>
      <w:proofErr w:type="spellStart"/>
      <w:r w:rsidRPr="003A0861">
        <w:rPr>
          <w:rFonts w:ascii="Times New Roman" w:hAnsi="Times New Roman"/>
          <w:sz w:val="28"/>
          <w:szCs w:val="28"/>
        </w:rPr>
        <w:t>Тималіну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комбінованого з біополімером клітинної стінки стафілокока, </w:t>
      </w:r>
      <w:r w:rsidRPr="003A0861">
        <w:rPr>
          <w:rFonts w:ascii="Times New Roman" w:hAnsi="Times New Roman" w:cs="Times New Roman"/>
          <w:sz w:val="28"/>
          <w:szCs w:val="28"/>
        </w:rPr>
        <w:t xml:space="preserve">вплив запропонованого комбінованого препарату на продукцію цитокінів </w:t>
      </w:r>
      <w:proofErr w:type="spellStart"/>
      <w:r w:rsidRPr="003A0861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Pr="003A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0861">
        <w:rPr>
          <w:rFonts w:ascii="Times New Roman" w:eastAsia="Times New Roman" w:hAnsi="Times New Roman" w:cs="Times New Roman"/>
          <w:i/>
          <w:sz w:val="28"/>
          <w:szCs w:val="28"/>
        </w:rPr>
        <w:t>vitro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дослідження показників фагоцитозу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цитотоксичності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крові, оцінка фагоцитарної активності макрофагів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</w:t>
      </w:r>
      <w:r w:rsidRPr="003A0861">
        <w:rPr>
          <w:rFonts w:ascii="Times New Roman" w:eastAsia="Times New Roman" w:hAnsi="Times New Roman" w:cs="Times New Roman"/>
          <w:sz w:val="28"/>
          <w:szCs w:val="28"/>
        </w:rPr>
        <w:t>вплив комбінованого препарату на фактори клітинного імунітету</w:t>
      </w:r>
      <w:r w:rsidRPr="003A0861">
        <w:rPr>
          <w:rFonts w:ascii="Times New Roman" w:hAnsi="Times New Roman" w:cs="Times New Roman"/>
          <w:sz w:val="28"/>
          <w:szCs w:val="28"/>
        </w:rPr>
        <w:t xml:space="preserve">, функціональна активність клітин імунної системи, макрофагів та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>.</w:t>
      </w:r>
    </w:p>
    <w:p w14:paraId="47347701" w14:textId="77777777" w:rsidR="00977EE7" w:rsidRPr="003A0861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61">
        <w:rPr>
          <w:rFonts w:ascii="Times New Roman" w:hAnsi="Times New Roman"/>
          <w:b/>
          <w:sz w:val="28"/>
          <w:szCs w:val="28"/>
        </w:rPr>
        <w:t xml:space="preserve">Предмет дослідження: </w:t>
      </w:r>
    </w:p>
    <w:p w14:paraId="42C63429" w14:textId="1DA17F22" w:rsidR="00977EE7" w:rsidRPr="003A0861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A0861">
        <w:rPr>
          <w:rFonts w:ascii="Times New Roman" w:hAnsi="Times New Roman"/>
          <w:sz w:val="28"/>
          <w:szCs w:val="28"/>
        </w:rPr>
        <w:t>Імунокорегуючі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та фармакологічні впливи </w:t>
      </w:r>
      <w:proofErr w:type="spellStart"/>
      <w:r w:rsidRPr="003A0861">
        <w:rPr>
          <w:rFonts w:ascii="Times New Roman" w:hAnsi="Times New Roman"/>
          <w:sz w:val="28"/>
          <w:szCs w:val="28"/>
        </w:rPr>
        <w:t>Тималіну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, закономірності технології розробки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імуномодулюючих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препаратів для </w:t>
      </w:r>
      <w:r w:rsidRPr="003A0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комплексного лікування захворювань, що супроводжуються порушенням клітинного імунітету на фоні </w:t>
      </w:r>
      <w:proofErr w:type="spellStart"/>
      <w:r w:rsidRPr="003A0861">
        <w:rPr>
          <w:rFonts w:ascii="Times New Roman" w:hAnsi="Times New Roman" w:cs="Times New Roman"/>
          <w:sz w:val="28"/>
          <w:szCs w:val="28"/>
          <w:shd w:val="clear" w:color="auto" w:fill="FFFFFF"/>
        </w:rPr>
        <w:t>імуносупресії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, вивчення імунобіологічної активності розробленого комбінованого препарату, розробка складу та </w:t>
      </w:r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технологія виробництва комбінованого лікарського засобу, вибір показників та критеріїв їх стандартизації, розробка та </w:t>
      </w:r>
      <w:proofErr w:type="spellStart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>валідація</w:t>
      </w:r>
      <w:proofErr w:type="spellEnd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>методик</w:t>
      </w:r>
      <w:proofErr w:type="spellEnd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якості. </w:t>
      </w:r>
    </w:p>
    <w:p w14:paraId="58294096" w14:textId="77777777" w:rsidR="002641AD" w:rsidRPr="003A0861" w:rsidRDefault="002641AD" w:rsidP="002641A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/>
          <w:b/>
          <w:sz w:val="28"/>
          <w:szCs w:val="28"/>
        </w:rPr>
        <w:t xml:space="preserve">Методи дослідження: </w:t>
      </w:r>
      <w:r w:rsidRPr="003A0861">
        <w:rPr>
          <w:rFonts w:ascii="Times New Roman" w:hAnsi="Times New Roman"/>
          <w:sz w:val="28"/>
          <w:szCs w:val="28"/>
        </w:rPr>
        <w:t>біохімічні,</w:t>
      </w:r>
      <w:r w:rsidRPr="003A0861">
        <w:rPr>
          <w:rFonts w:ascii="Times New Roman" w:hAnsi="Times New Roman"/>
          <w:b/>
          <w:sz w:val="28"/>
          <w:szCs w:val="28"/>
        </w:rPr>
        <w:t xml:space="preserve"> </w:t>
      </w:r>
      <w:r w:rsidRPr="003A0861">
        <w:rPr>
          <w:rFonts w:ascii="Times New Roman" w:hAnsi="Times New Roman"/>
          <w:sz w:val="28"/>
          <w:szCs w:val="28"/>
        </w:rPr>
        <w:t>мікробіологічні (вирощування культур мікроорганізмів), імунологічні (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імуномодyлюючa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861">
        <w:rPr>
          <w:rFonts w:ascii="Times New Roman" w:hAnsi="Times New Roman"/>
          <w:sz w:val="28"/>
          <w:szCs w:val="28"/>
        </w:rPr>
        <w:t>дiя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, визначення </w:t>
      </w:r>
      <w:r w:rsidRPr="003A0861">
        <w:rPr>
          <w:rFonts w:ascii="Times New Roman" w:hAnsi="Times New Roman"/>
          <w:sz w:val="28"/>
          <w:szCs w:val="28"/>
        </w:rPr>
        <w:lastRenderedPageBreak/>
        <w:t xml:space="preserve">фагоцитарної активності </w:t>
      </w:r>
      <w:proofErr w:type="spellStart"/>
      <w:r w:rsidRPr="003A0861">
        <w:rPr>
          <w:rFonts w:ascii="Times New Roman" w:hAnsi="Times New Roman"/>
          <w:sz w:val="28"/>
          <w:szCs w:val="28"/>
        </w:rPr>
        <w:t>нейтрофілів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та макрофагів), </w:t>
      </w:r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спектрофотометричний та хроматографічний методи дослідження, </w:t>
      </w:r>
      <w:r w:rsidRPr="003A0861">
        <w:rPr>
          <w:rFonts w:ascii="Times New Roman" w:hAnsi="Times New Roman"/>
          <w:sz w:val="28"/>
          <w:szCs w:val="28"/>
        </w:rPr>
        <w:t xml:space="preserve">технологічні аспекти виробництва фармацевтичного препарату </w:t>
      </w:r>
      <w:proofErr w:type="spellStart"/>
      <w:r w:rsidRPr="003A0861">
        <w:rPr>
          <w:rFonts w:ascii="Times New Roman" w:hAnsi="Times New Roman"/>
          <w:sz w:val="28"/>
          <w:szCs w:val="28"/>
        </w:rPr>
        <w:t>Тималін</w:t>
      </w:r>
      <w:proofErr w:type="spellEnd"/>
      <w:r w:rsidRPr="003A0861">
        <w:rPr>
          <w:rFonts w:ascii="Times New Roman" w:hAnsi="Times New Roman"/>
          <w:sz w:val="28"/>
          <w:szCs w:val="28"/>
        </w:rPr>
        <w:t>, статистичні.</w:t>
      </w:r>
    </w:p>
    <w:p w14:paraId="57970860" w14:textId="77777777" w:rsidR="002641AD" w:rsidRPr="003A0861" w:rsidRDefault="002641AD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82304E" w14:textId="77777777" w:rsidR="002641AD" w:rsidRPr="003A0861" w:rsidRDefault="002641AD" w:rsidP="002641AD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Загальна характеристика захворювань, що супроводжуються зниженням рівня клітинного імунітету</w:t>
      </w:r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F840AE3" w14:textId="77777777" w:rsidR="002641AD" w:rsidRPr="003A0861" w:rsidRDefault="002641AD" w:rsidP="002641AD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652E" w14:textId="1BF5F2D5" w:rsidR="002641AD" w:rsidRPr="003A0861" w:rsidRDefault="002641AD" w:rsidP="002641AD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Необхідною умовою виживання людини є здатність підтримувати сталість внутрішнього середовища організму - гомеостаз. Метаболічні процеси всередині організму регулюються нервовою та ендокринною системами, що в кінцевому підсумку забезпечує нормальне функціонування різних тканин і органів. Однак людина живе в середовищі, населеної різними мікробами, взаємодія з деякими з них може призводити до грубих порушень гомеостазу, цілісності тканин організму і навіть до загибелі людини. Стійкість людини до даних мікробів і підтримку антигенного гомеостазу в цілому забезпечується спеціальною системою органів - імунною системою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070D4" w14:textId="47FEE63F" w:rsidR="002641AD" w:rsidRPr="003A0861" w:rsidRDefault="002641AD" w:rsidP="002641AD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3A0861">
        <w:rPr>
          <w:rFonts w:ascii="Times New Roman" w:hAnsi="Times New Roman" w:cs="Times New Roman"/>
          <w:sz w:val="28"/>
          <w:szCs w:val="28"/>
        </w:rPr>
        <w:t xml:space="preserve">Імунна система складається з таких органів, як кістковий мозок,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тимус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селезінка, лімфатичні вузли, скупчення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лімфоїдної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тканини. Розрізняють первинні – центральні (кістковий мозок і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тимус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) і вторинні – периферичні (селезінка, лімфатичні вузли, скупчення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лімфоїдної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тканини) органи імунної системи. Всі вони взаємозв’язані системою кровообігу,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лімфотоку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 і єдиною системою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імунорегуляції</w:t>
      </w:r>
      <w:proofErr w:type="spellEnd"/>
      <w:r w:rsidRPr="003A0861">
        <w:rPr>
          <w:sz w:val="28"/>
          <w:szCs w:val="28"/>
        </w:rPr>
        <w:t xml:space="preserve"> </w:t>
      </w:r>
      <w:r w:rsidRPr="003A0861">
        <w:rPr>
          <w:rFonts w:ascii="Times New Roman" w:hAnsi="Times New Roman" w:cs="Times New Roman"/>
          <w:sz w:val="28"/>
          <w:szCs w:val="28"/>
        </w:rPr>
        <w:t>.</w:t>
      </w:r>
    </w:p>
    <w:p w14:paraId="3DC523B2" w14:textId="4EF13D26" w:rsidR="002641AD" w:rsidRPr="003A0861" w:rsidRDefault="002641AD" w:rsidP="002641A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61">
        <w:rPr>
          <w:rFonts w:ascii="Times New Roman" w:hAnsi="Times New Roman"/>
          <w:bCs/>
          <w:sz w:val="28"/>
          <w:szCs w:val="28"/>
        </w:rPr>
        <w:t xml:space="preserve">Здатність імунної системи організму протистояти різним інфекційним чинникам (бактерії, віруси, грибки) є невід'ємною частиною процесу виживання людини. </w:t>
      </w:r>
      <w:r w:rsidRPr="003A0861">
        <w:rPr>
          <w:rFonts w:ascii="Times New Roman" w:hAnsi="Times New Roman" w:cs="Times New Roman"/>
          <w:sz w:val="28"/>
          <w:szCs w:val="28"/>
        </w:rPr>
        <w:t>Загальну систему імунітету можна розділити на два великих відділи (частини, підсистеми), спільне функціонування яких створює дуже потужний, що має декілька ланок, захист: природжений неспецифічний (природний) імунітет (неспецифічні фактори природної резистентності) і набутий специфічний (адаптивний) імунітет</w:t>
      </w:r>
      <w:r w:rsidRPr="003A0861">
        <w:rPr>
          <w:sz w:val="28"/>
          <w:szCs w:val="28"/>
        </w:rPr>
        <w:t xml:space="preserve"> </w:t>
      </w:r>
      <w:r w:rsidRPr="003A0861">
        <w:rPr>
          <w:rFonts w:ascii="Times New Roman" w:hAnsi="Times New Roman" w:cs="Times New Roman"/>
          <w:sz w:val="28"/>
          <w:szCs w:val="28"/>
        </w:rPr>
        <w:t>.</w:t>
      </w:r>
    </w:p>
    <w:p w14:paraId="40B23FA4" w14:textId="1A64CBDA" w:rsidR="002641AD" w:rsidRPr="003A0861" w:rsidRDefault="002641AD" w:rsidP="002641A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lastRenderedPageBreak/>
        <w:t xml:space="preserve">Умовно-патогенні бактерії та гриби індукують інфекційний процес в організмі з нормальними захисними механізмами лише тоді, коли співвідношення </w:t>
      </w:r>
      <w:proofErr w:type="spellStart"/>
      <w:r w:rsidRPr="003A0861">
        <w:rPr>
          <w:rFonts w:ascii="Times New Roman" w:hAnsi="Times New Roman"/>
          <w:sz w:val="28"/>
          <w:szCs w:val="28"/>
        </w:rPr>
        <w:t>інфікуючої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дози на одиницю захисного чинника, наприклад, на один фагоцит, перевищуватиме якийсь критичний рівень, тобто при </w:t>
      </w:r>
      <w:r w:rsidRPr="003A0861">
        <w:rPr>
          <w:rFonts w:ascii="Times New Roman" w:hAnsi="Times New Roman"/>
          <w:b/>
          <w:bCs/>
          <w:i/>
          <w:iCs/>
          <w:sz w:val="28"/>
          <w:szCs w:val="28"/>
        </w:rPr>
        <w:t xml:space="preserve">відносному імунодефіциті </w:t>
      </w:r>
      <w:r w:rsidRPr="003A0861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A0861">
        <w:rPr>
          <w:rFonts w:ascii="Times New Roman" w:hAnsi="Times New Roman"/>
          <w:sz w:val="28"/>
          <w:szCs w:val="28"/>
        </w:rPr>
        <w:t xml:space="preserve">У такій ситуації фагоцит не в змозі поглинути і переварити дане число мікробів. Зазвичай інфекції, що викликаються умовно-патогенними мікробами, виникають у людей з дефіцитами у системі імунітету, коли для цього достатньо невеликої дози мікроорганізмів, що не інфікує людей з нормальною системою імунітету, тобто за наявності </w:t>
      </w:r>
      <w:r w:rsidRPr="003A0861">
        <w:rPr>
          <w:rFonts w:ascii="Times New Roman" w:hAnsi="Times New Roman"/>
          <w:b/>
          <w:i/>
          <w:iCs/>
          <w:sz w:val="28"/>
          <w:szCs w:val="28"/>
        </w:rPr>
        <w:t xml:space="preserve">абсолютного </w:t>
      </w:r>
      <w:r w:rsidRPr="003A0861">
        <w:rPr>
          <w:rFonts w:ascii="Times New Roman" w:hAnsi="Times New Roman"/>
          <w:b/>
          <w:bCs/>
          <w:i/>
          <w:iCs/>
          <w:sz w:val="28"/>
          <w:szCs w:val="28"/>
        </w:rPr>
        <w:t>імунодефіциту.</w:t>
      </w:r>
    </w:p>
    <w:p w14:paraId="114052AB" w14:textId="312D486F" w:rsidR="002641AD" w:rsidRPr="003A0861" w:rsidRDefault="002641AD" w:rsidP="002641A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t xml:space="preserve">У зв'язку з цим </w:t>
      </w:r>
      <w:bookmarkStart w:id="0" w:name="_Hlk58789567"/>
      <w:r w:rsidRPr="003A0861">
        <w:rPr>
          <w:rFonts w:ascii="Times New Roman" w:hAnsi="Times New Roman"/>
          <w:sz w:val="28"/>
          <w:szCs w:val="28"/>
        </w:rPr>
        <w:t xml:space="preserve">з'ясування причин ослаблення імунологічного захисту організму, імунологічна характеристика станів, що супроводжуються порушенням імунної відповіді, та розробка методів їх імунологічної корекції є важливим завданням діагностики і лікування придбаних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імунодефіцитних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станів.</w:t>
      </w:r>
    </w:p>
    <w:p w14:paraId="41D803DF" w14:textId="77777777" w:rsidR="00852166" w:rsidRPr="003A0861" w:rsidRDefault="00852166" w:rsidP="0085216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Імуностимулятори</w:t>
      </w:r>
      <w:proofErr w:type="spellEnd"/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імуномодулятори</w:t>
      </w:r>
      <w:proofErr w:type="spellEnd"/>
    </w:p>
    <w:p w14:paraId="17196CCA" w14:textId="77777777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8790268"/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Імунотропні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препарати це препарати, які мають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імунотропну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активність на у терапевтичних дозах підсилюють або пригнічують імунні реакції</w:t>
      </w:r>
      <w:bookmarkEnd w:id="1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Препарати розділяють на 3 групи: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імуностимулятори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імунодепресанти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імуномодулятори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імунокоректори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56F2EA4" w14:textId="77777777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Імуностимулятори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підвищують загальну опірність організму або його неспецифічний імунітет, а також впливають на специфічні імунні реакції. Підвищення загальної опірності організму може відбуватися, напр., під впливом деяких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стимулювальних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препаратів (кофеїну,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елеутерококу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ін.), вітамінів (ретинолу, аскорбінової кислоти, вітамінів групи В) та ін. Здатність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бендазолу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стимулювати імунні процеси вперше була доведена Н.В.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Лазаревим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Здатність стимулювати імунні реакції організму (в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лейкопоез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мають похідні нуклеїнових кислот, а також деякі біогенні препарати (спленін, церулоплазмін,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енкад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ін.). Ендогенні сполуки, що утворюються самим організмом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лімфокіни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мобілізують імунні сили організму на боротьбу з 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патологічними процесами. Важливими ендогенними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імуностимуляторами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інтерферони та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інтерфероногени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стимулюють утворення ендогенного інтерферону. </w:t>
      </w:r>
    </w:p>
    <w:p w14:paraId="3C79B582" w14:textId="77777777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Важливу роль у функціонуванні клітинного і гуморального імунітету відіграє підгрудинна залоза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тимус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якій відбувається диференціація стовбурових клітин у лімфоцити, а також секреція специфічних речовин (гормонів), які впливають на розвиток та дозрівання певних клітин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лімфоїдної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тканини.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7A0ECE" w14:textId="180615A9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Імунодепресанти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імуносупресори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препарати, які гальмують імуногенез, пригнічують продукцію антитіл шляхом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стримання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проліферативних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процесів у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лімфоїдних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імунокомпетентних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тканинах та пригнічення біосинтезу нуклеїнових кислот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6A70A" w14:textId="57B53922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Класифікація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імунодепресантів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антиметаболіти — антагоністи пурину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меркаптопурин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азатіоприн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антагоністи фолієвої кислоти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метотрексат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алкілувальні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сполуки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цитофосфан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хлорбутин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протипухлинні антибіотики (актиноміцин D,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циклоспорин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); алкалоїди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вінкристин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вінбластин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глюкокортикостероїди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(преднізолон,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тріамцинолон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дексаметазон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антилімфоцитарна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сироватка (глобулін); різні ЛП, що виявляють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імуносупресивний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 (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пеніциламін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фенілбутазон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індометацин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препарати золота, гепарин, кислота амінокапронова, ферментні препарати — рибонуклеаза,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дезоксирибонуклеаза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, L-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аспарагіназа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BC3DEE0" w14:textId="77777777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Короткий опис технологічного процесу виробництва препарату </w:t>
      </w:r>
      <w:proofErr w:type="spellStart"/>
      <w:r w:rsidRPr="003A0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Тималін</w:t>
      </w:r>
      <w:proofErr w:type="spellEnd"/>
    </w:p>
    <w:p w14:paraId="344A1317" w14:textId="77777777" w:rsidR="00852166" w:rsidRPr="003A0861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Тималін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комплекс поліпептидних фракцій, виділених з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вилочкової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залози великої рогатої худоби. Регулює кількість Т-і В-лімфоцитів, стимулює реакцію клітинного імунітету; підсилює фагоцитоз. Застосовують у дорослих і дітей як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імуностимулятора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біостимулятора в комплексній терапії захворювань, що супроводжуються зниженням клітинного імунітету, в тому числі при гострих і хронічних гнійних процесах і запальних захворюваннях, при опіковій хворобі, трофічних виразках і ін., А також при пригніченні імунітету і кровотворної функції після променевої або хіміотерапії у </w:t>
      </w: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онкологічних хворих і при інших патологічних процесах.</w:t>
      </w:r>
    </w:p>
    <w:p w14:paraId="1431382D" w14:textId="77777777" w:rsidR="00852166" w:rsidRPr="003A0861" w:rsidRDefault="00852166" w:rsidP="0085216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тимусові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препарати надають м'який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імуномодулюючий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ефект, пов'язаний переважно зі збільшенням числа і функціональної активності Т-лімфоцитів. Але у них є один недолік: вони являють собою нерозділене суміш біологічно активних пептидів і їх досить важко стандартизувати. Прогрес в області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імуномодуляторів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тимусового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походження йшов по лінії створення препаратів 2-го і 3-го покоління, що представляють собою синтетичні аналоги природних гормонів </w:t>
      </w:r>
      <w:proofErr w:type="spellStart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тимуса</w:t>
      </w:r>
      <w:proofErr w:type="spellEnd"/>
      <w:r w:rsidRPr="003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фрагментів цих гормонів, що володіють біологічною активністю.</w:t>
      </w:r>
      <w:r w:rsidRPr="003A0861">
        <w:rPr>
          <w:rFonts w:ascii="Times New Roman" w:hAnsi="Times New Roman"/>
          <w:b/>
          <w:sz w:val="28"/>
          <w:szCs w:val="28"/>
        </w:rPr>
        <w:t xml:space="preserve"> </w:t>
      </w:r>
    </w:p>
    <w:p w14:paraId="620D91DC" w14:textId="12E91E04" w:rsidR="00852166" w:rsidRPr="003A0861" w:rsidRDefault="00852166" w:rsidP="0085216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61">
        <w:rPr>
          <w:rFonts w:ascii="Times New Roman" w:hAnsi="Times New Roman"/>
          <w:b/>
          <w:sz w:val="28"/>
          <w:szCs w:val="28"/>
        </w:rPr>
        <w:t xml:space="preserve">Наукова новизна роботи : </w:t>
      </w:r>
    </w:p>
    <w:p w14:paraId="3DA197CA" w14:textId="77777777" w:rsidR="00852166" w:rsidRPr="003A0861" w:rsidRDefault="00852166" w:rsidP="00852166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t>Вперше проведене дослідження вивчення</w:t>
      </w:r>
      <w:r w:rsidRPr="003A0861">
        <w:rPr>
          <w:rFonts w:ascii="Times New Roman" w:hAnsi="Times New Roman"/>
          <w:b/>
          <w:sz w:val="28"/>
          <w:szCs w:val="28"/>
        </w:rPr>
        <w:t xml:space="preserve"> </w:t>
      </w:r>
      <w:r w:rsidRPr="003A0861">
        <w:rPr>
          <w:rFonts w:ascii="Times New Roman" w:hAnsi="Times New Roman"/>
          <w:sz w:val="28"/>
          <w:szCs w:val="28"/>
        </w:rPr>
        <w:t xml:space="preserve">фармакологічної та імунобіологічної активності комбінованого препарату. </w:t>
      </w:r>
    </w:p>
    <w:p w14:paraId="7B48E550" w14:textId="77777777" w:rsidR="00852166" w:rsidRPr="003A0861" w:rsidRDefault="00852166" w:rsidP="00852166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t xml:space="preserve">Вперше запропоновано поєднання в одному лікарському засобі кількох препаратів для забезпечення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імунокорекції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A0861">
        <w:rPr>
          <w:rFonts w:ascii="Times New Roman" w:hAnsi="Times New Roman"/>
          <w:sz w:val="28"/>
          <w:szCs w:val="28"/>
        </w:rPr>
        <w:t>імуномодуляції</w:t>
      </w:r>
      <w:proofErr w:type="spellEnd"/>
      <w:r w:rsidRPr="003A0861">
        <w:rPr>
          <w:rFonts w:ascii="Times New Roman" w:hAnsi="Times New Roman"/>
          <w:sz w:val="28"/>
          <w:szCs w:val="28"/>
        </w:rPr>
        <w:t xml:space="preserve">, і створення нового лікарського засобу для лікування захворювань що супроводжуються порушеннями клітинної ланки імунітету. </w:t>
      </w:r>
    </w:p>
    <w:p w14:paraId="36923276" w14:textId="7355650A" w:rsidR="00852166" w:rsidRPr="003A0861" w:rsidRDefault="00852166" w:rsidP="00852166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Науково та експериментально </w:t>
      </w:r>
      <w:proofErr w:type="spellStart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>обгрунтовано</w:t>
      </w:r>
      <w:proofErr w:type="spellEnd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 склад, технологію та методики стандартизації комбінованого протизапального засобу, основними діючими речовинами якого є </w:t>
      </w:r>
      <w:proofErr w:type="spellStart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>Тималін</w:t>
      </w:r>
      <w:proofErr w:type="spellEnd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 та білок-</w:t>
      </w:r>
      <w:proofErr w:type="spellStart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>адгезин</w:t>
      </w:r>
      <w:proofErr w:type="spellEnd"/>
      <w:r w:rsidRPr="003A0861">
        <w:rPr>
          <w:rFonts w:ascii="Times New Roman" w:hAnsi="Times New Roman"/>
          <w:sz w:val="28"/>
          <w:szCs w:val="28"/>
          <w:shd w:val="clear" w:color="auto" w:fill="FFFFFF"/>
        </w:rPr>
        <w:t xml:space="preserve"> клітинної стінки стафілокока.</w:t>
      </w:r>
    </w:p>
    <w:p w14:paraId="2E122659" w14:textId="77777777" w:rsidR="003A0861" w:rsidRPr="003A0861" w:rsidRDefault="003A0861" w:rsidP="003A0861">
      <w:pPr>
        <w:pStyle w:val="a5"/>
        <w:shd w:val="clear" w:color="auto" w:fill="FFFFFF" w:themeFill="background1"/>
        <w:spacing w:after="0" w:line="360" w:lineRule="auto"/>
        <w:ind w:left="709"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0AF30DC" w14:textId="65202852" w:rsidR="00852166" w:rsidRPr="003A0861" w:rsidRDefault="00852166" w:rsidP="003A08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Практична значущість роботи: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Розробка та застосування комбінованого імунобіологічного препарату на основі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Тималіну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біополімеру забезпечує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імунокорекцію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відновлення функціональної активності клітин імунної системи. </w:t>
      </w:r>
    </w:p>
    <w:p w14:paraId="7BF23D69" w14:textId="2AEF9A7E" w:rsidR="00852166" w:rsidRPr="003A0861" w:rsidRDefault="00852166" w:rsidP="0085216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експериментальних та теоретичних досліджень показали, що комбінація екстракту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тимусу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телят та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нанорозмірного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білка клітинної стінки стафілокока індукує продукцію інтерферонів,  має 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імунокоригуючі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впливи та забезпечує протекторну дію.</w:t>
      </w:r>
    </w:p>
    <w:p w14:paraId="13C00144" w14:textId="77777777" w:rsidR="00371BEB" w:rsidRPr="003A0861" w:rsidRDefault="00371BEB" w:rsidP="0085216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6B644" w14:textId="77777777" w:rsidR="00F95418" w:rsidRPr="003A0861" w:rsidRDefault="00F95418" w:rsidP="00F9541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Рекомендації щодо використання одержаних результатів: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виконаної магістерської роботи є розробка потенційно високоефективного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імунокорегуючого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препарату на основі екстракту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тимуса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телят та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нанорозмірного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біополімеру клітинної стінки стафілококу EAP для імунотерапії  порушень клітинного імунітету.</w:t>
      </w:r>
    </w:p>
    <w:p w14:paraId="172AEF04" w14:textId="5825D3A9" w:rsidR="00852166" w:rsidRPr="003A0861" w:rsidRDefault="00852166" w:rsidP="00F9541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Проведеними дослідженнями запропоновано ескізний GMP проект виробництва модельного препарату у формі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ліофілізату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розчину для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інєкцій</w:t>
      </w:r>
      <w:proofErr w:type="spellEnd"/>
      <w:r w:rsidR="00F95418"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A318E7" w14:textId="7D8D3888" w:rsidR="00F95418" w:rsidRPr="003A0861" w:rsidRDefault="00F95418" w:rsidP="00F9541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61">
        <w:rPr>
          <w:rFonts w:ascii="Times New Roman" w:hAnsi="Times New Roman"/>
          <w:sz w:val="28"/>
          <w:szCs w:val="28"/>
        </w:rPr>
        <w:t>Структуру роботи становлять вступ, три розділи, висновки та список використаних джерел літератури</w:t>
      </w:r>
      <w:r w:rsidRPr="003A0861">
        <w:rPr>
          <w:rFonts w:ascii="Times New Roman" w:hAnsi="Times New Roman"/>
          <w:sz w:val="28"/>
          <w:szCs w:val="28"/>
        </w:rPr>
        <w:t xml:space="preserve"> (70 найменувань)</w:t>
      </w:r>
      <w:r w:rsidRPr="003A0861">
        <w:rPr>
          <w:rFonts w:ascii="Times New Roman" w:hAnsi="Times New Roman"/>
          <w:sz w:val="28"/>
          <w:szCs w:val="28"/>
        </w:rPr>
        <w:t>, додатки.</w:t>
      </w:r>
    </w:p>
    <w:p w14:paraId="2BB3851F" w14:textId="77777777" w:rsidR="0055254B" w:rsidRPr="003A0861" w:rsidRDefault="0055254B" w:rsidP="005A4C5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A1D9E8" w14:textId="4A57F735" w:rsidR="005A4C5B" w:rsidRPr="003A0861" w:rsidRDefault="005A4C5B" w:rsidP="005A4C5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Публікації. 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результати дипломної магістерської роботи:</w:t>
      </w:r>
    </w:p>
    <w:p w14:paraId="5003B00D" w14:textId="7D2CCC67" w:rsidR="005A4C5B" w:rsidRPr="003A0861" w:rsidRDefault="005A4C5B" w:rsidP="005A4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-апробовані на 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міжнародній науково-практичній інтернет-конференції  </w:t>
      </w:r>
      <w:r w:rsidR="0055254B"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Технологічні та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біофармацевтичні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аспекти створення лікарських препаратів різної направленості дії</w:t>
      </w:r>
      <w:r w:rsidR="0055254B"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Грицаєнко</w:t>
      </w:r>
      <w:proofErr w:type="spellEnd"/>
      <w:r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В.В., Любченко Г.А. </w:t>
      </w:r>
      <w:r w:rsidR="0055254B" w:rsidRPr="003A08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A0861">
        <w:rPr>
          <w:rFonts w:ascii="Times New Roman" w:hAnsi="Times New Roman" w:cs="Times New Roman"/>
          <w:sz w:val="28"/>
          <w:szCs w:val="28"/>
        </w:rPr>
        <w:t>Визначення</w:t>
      </w:r>
      <w:r w:rsidR="0055254B" w:rsidRPr="003A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54B" w:rsidRPr="003A0861">
        <w:rPr>
          <w:rFonts w:ascii="Times New Roman" w:hAnsi="Times New Roman" w:cs="Times New Roman"/>
          <w:sz w:val="28"/>
          <w:szCs w:val="28"/>
        </w:rPr>
        <w:t>імуномодулюючої</w:t>
      </w:r>
      <w:proofErr w:type="spellEnd"/>
      <w:r w:rsidR="0055254B" w:rsidRPr="003A0861">
        <w:rPr>
          <w:rFonts w:ascii="Times New Roman" w:hAnsi="Times New Roman" w:cs="Times New Roman"/>
          <w:sz w:val="28"/>
          <w:szCs w:val="28"/>
        </w:rPr>
        <w:t xml:space="preserve"> активності комбінованого впливу </w:t>
      </w:r>
      <w:proofErr w:type="spellStart"/>
      <w:r w:rsidR="0055254B" w:rsidRPr="003A0861">
        <w:rPr>
          <w:rFonts w:ascii="Times New Roman" w:hAnsi="Times New Roman" w:cs="Times New Roman"/>
          <w:sz w:val="28"/>
          <w:szCs w:val="28"/>
        </w:rPr>
        <w:t>тималіну</w:t>
      </w:r>
      <w:proofErr w:type="spellEnd"/>
      <w:r w:rsidR="0055254B" w:rsidRPr="003A0861">
        <w:rPr>
          <w:rFonts w:ascii="Times New Roman" w:hAnsi="Times New Roman" w:cs="Times New Roman"/>
          <w:sz w:val="28"/>
          <w:szCs w:val="28"/>
        </w:rPr>
        <w:t xml:space="preserve"> та біополімера клітинної стінки </w:t>
      </w:r>
      <w:r w:rsidR="0055254B" w:rsidRPr="003A0861">
        <w:rPr>
          <w:rFonts w:ascii="Times New Roman" w:hAnsi="Times New Roman" w:cs="Times New Roman"/>
          <w:sz w:val="28"/>
          <w:szCs w:val="28"/>
          <w:lang w:val="en-US"/>
        </w:rPr>
        <w:t>Staphylococcus</w:t>
      </w:r>
      <w:r w:rsidR="0055254B" w:rsidRPr="003A0861">
        <w:rPr>
          <w:rFonts w:ascii="Times New Roman" w:hAnsi="Times New Roman" w:cs="Times New Roman"/>
          <w:sz w:val="28"/>
          <w:szCs w:val="28"/>
        </w:rPr>
        <w:t xml:space="preserve"> </w:t>
      </w:r>
      <w:r w:rsidR="0055254B" w:rsidRPr="003A0861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="0055254B" w:rsidRPr="003A0861">
        <w:rPr>
          <w:rFonts w:ascii="Times New Roman" w:hAnsi="Times New Roman" w:cs="Times New Roman"/>
          <w:sz w:val="28"/>
          <w:szCs w:val="28"/>
        </w:rPr>
        <w:t xml:space="preserve">»,  26 листопада 2020 року, </w:t>
      </w:r>
      <w:proofErr w:type="spellStart"/>
      <w:r w:rsidR="0055254B" w:rsidRPr="003A0861">
        <w:rPr>
          <w:rFonts w:ascii="Times New Roman" w:hAnsi="Times New Roman" w:cs="Times New Roman"/>
          <w:sz w:val="28"/>
          <w:szCs w:val="28"/>
        </w:rPr>
        <w:t>м.Харків</w:t>
      </w:r>
      <w:proofErr w:type="spellEnd"/>
    </w:p>
    <w:p w14:paraId="3AAA95D0" w14:textId="77777777" w:rsidR="003A0861" w:rsidRPr="003A0861" w:rsidRDefault="003A0861" w:rsidP="005A4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D807F" w14:textId="77777777" w:rsidR="0055254B" w:rsidRPr="003A0861" w:rsidRDefault="0055254B" w:rsidP="0055254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61">
        <w:rPr>
          <w:rFonts w:ascii="Times New Roman" w:hAnsi="Times New Roman" w:cs="Times New Roman"/>
          <w:sz w:val="28"/>
          <w:szCs w:val="28"/>
        </w:rPr>
        <w:t xml:space="preserve">Ключові слова: поліпептиди, </w:t>
      </w:r>
      <w:proofErr w:type="spellStart"/>
      <w:r w:rsidRPr="003A0861">
        <w:rPr>
          <w:rFonts w:ascii="Times New Roman" w:hAnsi="Times New Roman" w:cs="Times New Roman"/>
          <w:sz w:val="28"/>
          <w:szCs w:val="28"/>
        </w:rPr>
        <w:t>імуномодулятори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 xml:space="preserve">, лейкоцити, цитокіни, </w:t>
      </w:r>
      <w:proofErr w:type="spellStart"/>
      <w:r w:rsidRPr="003A0861">
        <w:rPr>
          <w:rFonts w:ascii="Times New Roman" w:hAnsi="Times New Roman" w:cs="Times New Roman"/>
          <w:i/>
          <w:sz w:val="28"/>
          <w:szCs w:val="28"/>
        </w:rPr>
        <w:t>Staphylococcus</w:t>
      </w:r>
      <w:proofErr w:type="spellEnd"/>
      <w:r w:rsidRPr="003A0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0861">
        <w:rPr>
          <w:rFonts w:ascii="Times New Roman" w:hAnsi="Times New Roman" w:cs="Times New Roman"/>
          <w:i/>
          <w:sz w:val="28"/>
          <w:szCs w:val="28"/>
        </w:rPr>
        <w:t>aureus</w:t>
      </w:r>
      <w:proofErr w:type="spellEnd"/>
      <w:r w:rsidRPr="003A0861">
        <w:rPr>
          <w:rFonts w:ascii="Times New Roman" w:hAnsi="Times New Roman" w:cs="Times New Roman"/>
          <w:sz w:val="28"/>
          <w:szCs w:val="28"/>
        </w:rPr>
        <w:t>, біополімер ЕАР, клітинний  імунітет.</w:t>
      </w:r>
    </w:p>
    <w:p w14:paraId="6C59876E" w14:textId="77777777" w:rsidR="0055254B" w:rsidRPr="0055254B" w:rsidRDefault="0055254B" w:rsidP="005A4C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35D116" w14:textId="33285E48" w:rsidR="00F95418" w:rsidRPr="005A4C5B" w:rsidRDefault="00F95418" w:rsidP="00F9541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52A7A" w14:textId="253C9865" w:rsidR="00852166" w:rsidRPr="00AA3910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5E5DB3B4" w14:textId="77777777" w:rsidR="00852166" w:rsidRPr="00AA3910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D1854" w14:textId="77777777" w:rsidR="00852166" w:rsidRPr="00AA3910" w:rsidRDefault="00852166" w:rsidP="00852166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09A0D" w14:textId="77777777" w:rsidR="00852166" w:rsidRPr="00AA3910" w:rsidRDefault="00852166" w:rsidP="002641A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353B1BC" w14:textId="77777777" w:rsidR="00977EE7" w:rsidRPr="00AA3910" w:rsidRDefault="00977EE7" w:rsidP="00977E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8215" w14:textId="77777777" w:rsidR="00370BBB" w:rsidRDefault="003A0861"/>
    <w:sectPr w:rsidR="00370BBB" w:rsidSect="00977EE7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A91"/>
    <w:multiLevelType w:val="multilevel"/>
    <w:tmpl w:val="8EA2589E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0E"/>
    <w:rsid w:val="002641AD"/>
    <w:rsid w:val="00267D64"/>
    <w:rsid w:val="002C6420"/>
    <w:rsid w:val="00371BEB"/>
    <w:rsid w:val="003A0861"/>
    <w:rsid w:val="0055254B"/>
    <w:rsid w:val="00577D0E"/>
    <w:rsid w:val="005A4C5B"/>
    <w:rsid w:val="00852166"/>
    <w:rsid w:val="00977EE7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23A"/>
  <w15:chartTrackingRefBased/>
  <w15:docId w15:val="{72049F07-D870-45DA-B9B1-EC164B8E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EE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77EE7"/>
    <w:rPr>
      <w:rFonts w:ascii="Times New Roman CYR" w:hAnsi="Times New Roman CYR"/>
      <w:sz w:val="28"/>
      <w:szCs w:val="28"/>
    </w:rPr>
  </w:style>
  <w:style w:type="paragraph" w:styleId="a4">
    <w:name w:val="No Spacing"/>
    <w:link w:val="a3"/>
    <w:uiPriority w:val="1"/>
    <w:qFormat/>
    <w:rsid w:val="00977EE7"/>
    <w:pPr>
      <w:spacing w:after="0" w:line="240" w:lineRule="auto"/>
      <w:jc w:val="both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77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7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52166"/>
    <w:pPr>
      <w:spacing w:after="120" w:line="240" w:lineRule="auto"/>
      <w:ind w:left="720" w:firstLine="567"/>
      <w:contextualSpacing/>
      <w:jc w:val="both"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85216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2020-12-15T18:02:00Z</dcterms:created>
  <dcterms:modified xsi:type="dcterms:W3CDTF">2020-12-15T19:16:00Z</dcterms:modified>
</cp:coreProperties>
</file>